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9C" w:rsidRPr="00F2159C" w:rsidRDefault="00F2159C" w:rsidP="00F2159C">
      <w:pPr>
        <w:shd w:val="clear" w:color="auto" w:fill="FFFFFF"/>
        <w:spacing w:beforeAutospacing="1" w:after="100" w:afterAutospacing="1" w:line="240" w:lineRule="auto"/>
        <w:outlineLvl w:val="2"/>
        <w:rPr>
          <w:rFonts w:ascii="Helvetica" w:eastAsia="Times New Roman" w:hAnsi="Helvetica" w:cs="Helvetica"/>
          <w:b/>
          <w:bCs/>
          <w:color w:val="000000"/>
          <w:sz w:val="27"/>
          <w:szCs w:val="27"/>
          <w:lang w:eastAsia="en-IN"/>
        </w:rPr>
      </w:pPr>
      <w:r w:rsidRPr="00F2159C">
        <w:rPr>
          <w:rFonts w:ascii="Helvetica" w:eastAsia="Times New Roman" w:hAnsi="Helvetica" w:cs="Helvetica"/>
          <w:b/>
          <w:bCs/>
          <w:color w:val="000000"/>
          <w:sz w:val="27"/>
          <w:szCs w:val="27"/>
          <w:lang w:eastAsia="en-IN"/>
        </w:rPr>
        <w:fldChar w:fldCharType="begin"/>
      </w:r>
      <w:r w:rsidRPr="00F2159C">
        <w:rPr>
          <w:rFonts w:ascii="Helvetica" w:eastAsia="Times New Roman" w:hAnsi="Helvetica" w:cs="Helvetica"/>
          <w:b/>
          <w:bCs/>
          <w:color w:val="000000"/>
          <w:sz w:val="27"/>
          <w:szCs w:val="27"/>
          <w:lang w:eastAsia="en-IN"/>
        </w:rPr>
        <w:instrText xml:space="preserve"> HYPERLINK "http://www.simpletaxindia.net/2012/06/new-abatement-rate-of-services-wef.html" </w:instrText>
      </w:r>
      <w:r w:rsidRPr="00F2159C">
        <w:rPr>
          <w:rFonts w:ascii="Helvetica" w:eastAsia="Times New Roman" w:hAnsi="Helvetica" w:cs="Helvetica"/>
          <w:b/>
          <w:bCs/>
          <w:color w:val="000000"/>
          <w:sz w:val="27"/>
          <w:szCs w:val="27"/>
          <w:lang w:eastAsia="en-IN"/>
        </w:rPr>
        <w:fldChar w:fldCharType="separate"/>
      </w:r>
      <w:r w:rsidRPr="00F2159C">
        <w:rPr>
          <w:rFonts w:ascii="Helvetica" w:eastAsia="Times New Roman" w:hAnsi="Helvetica" w:cs="Helvetica"/>
          <w:b/>
          <w:bCs/>
          <w:color w:val="23761A"/>
          <w:sz w:val="27"/>
          <w:szCs w:val="27"/>
          <w:lang w:eastAsia="en-IN"/>
        </w:rPr>
        <w:t>NEW ABATEMENT RATE OF SERVICES WEF 01.07.2012</w:t>
      </w:r>
      <w:r w:rsidRPr="00F2159C">
        <w:rPr>
          <w:rFonts w:ascii="Helvetica" w:eastAsia="Times New Roman" w:hAnsi="Helvetica" w:cs="Helvetica"/>
          <w:b/>
          <w:bCs/>
          <w:color w:val="000000"/>
          <w:sz w:val="27"/>
          <w:szCs w:val="27"/>
          <w:lang w:eastAsia="en-IN"/>
        </w:rPr>
        <w:fldChar w:fldCharType="end"/>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New system is placed in service tax </w:t>
      </w:r>
      <w:proofErr w:type="spellStart"/>
      <w:r w:rsidRPr="00F2159C">
        <w:rPr>
          <w:rFonts w:ascii="Verdana" w:eastAsia="Times New Roman" w:hAnsi="Verdana" w:cs="Helvetica"/>
          <w:color w:val="000000"/>
          <w:sz w:val="17"/>
          <w:szCs w:val="17"/>
          <w:lang w:eastAsia="en-IN"/>
        </w:rPr>
        <w:t>wef</w:t>
      </w:r>
      <w:proofErr w:type="spellEnd"/>
      <w:r w:rsidRPr="00F2159C">
        <w:rPr>
          <w:rFonts w:ascii="Verdana" w:eastAsia="Times New Roman" w:hAnsi="Verdana" w:cs="Helvetica"/>
          <w:color w:val="000000"/>
          <w:sz w:val="17"/>
          <w:szCs w:val="17"/>
          <w:lang w:eastAsia="en-IN"/>
        </w:rPr>
        <w:t xml:space="preserve"> 01.07.2012. In this system all services are taxable except </w:t>
      </w:r>
      <w:hyperlink r:id="rId6" w:history="1">
        <w:r w:rsidRPr="00F2159C">
          <w:rPr>
            <w:rFonts w:ascii="Verdana" w:eastAsia="Times New Roman" w:hAnsi="Verdana" w:cs="Helvetica"/>
            <w:color w:val="23761A"/>
            <w:sz w:val="17"/>
            <w:szCs w:val="17"/>
            <w:lang w:eastAsia="en-IN"/>
          </w:rPr>
          <w:t>17 negative services</w:t>
        </w:r>
      </w:hyperlink>
      <w:r w:rsidRPr="00F2159C">
        <w:rPr>
          <w:rFonts w:ascii="Verdana" w:eastAsia="Times New Roman" w:hAnsi="Verdana" w:cs="Helvetica"/>
          <w:color w:val="000000"/>
          <w:sz w:val="17"/>
          <w:szCs w:val="17"/>
          <w:lang w:eastAsia="en-IN"/>
        </w:rPr>
        <w:t xml:space="preserve"> . Further </w:t>
      </w:r>
      <w:hyperlink r:id="rId7" w:history="1">
        <w:r w:rsidRPr="00F2159C">
          <w:rPr>
            <w:rFonts w:ascii="Verdana" w:eastAsia="Times New Roman" w:hAnsi="Verdana" w:cs="Helvetica"/>
            <w:color w:val="23761A"/>
            <w:sz w:val="17"/>
            <w:szCs w:val="17"/>
            <w:lang w:eastAsia="en-IN"/>
          </w:rPr>
          <w:t>New reverse charge system on new services</w:t>
        </w:r>
      </w:hyperlink>
      <w:r w:rsidRPr="00F2159C">
        <w:rPr>
          <w:rFonts w:ascii="Verdana" w:eastAsia="Times New Roman" w:hAnsi="Verdana" w:cs="Helvetica"/>
          <w:color w:val="000000"/>
          <w:sz w:val="17"/>
          <w:szCs w:val="17"/>
          <w:lang w:eastAsia="en-IN"/>
        </w:rPr>
        <w:t xml:space="preserve"> has also be started .In old system in case of specific services abatement are allowed from gross receipt received from customer to get the taxable service value. This deduction is called abatement in service tax .This has been continued in </w:t>
      </w:r>
      <w:hyperlink r:id="rId8" w:history="1">
        <w:r w:rsidRPr="00F2159C">
          <w:rPr>
            <w:rFonts w:ascii="Verdana" w:eastAsia="Times New Roman" w:hAnsi="Verdana" w:cs="Helvetica"/>
            <w:color w:val="23761A"/>
            <w:sz w:val="17"/>
            <w:szCs w:val="17"/>
            <w:lang w:eastAsia="en-IN"/>
          </w:rPr>
          <w:t>new system</w:t>
        </w:r>
      </w:hyperlink>
      <w:r w:rsidRPr="00F2159C">
        <w:rPr>
          <w:rFonts w:ascii="Verdana" w:eastAsia="Times New Roman" w:hAnsi="Verdana" w:cs="Helvetica"/>
          <w:color w:val="000000"/>
          <w:sz w:val="17"/>
          <w:szCs w:val="17"/>
          <w:lang w:eastAsia="en-IN"/>
        </w:rPr>
        <w:t xml:space="preserve"> also but with revised rate of abatement.</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Generally it is assumed that if abatement is availed then service provider </w:t>
      </w:r>
      <w:proofErr w:type="spellStart"/>
      <w:r w:rsidRPr="00F2159C">
        <w:rPr>
          <w:rFonts w:ascii="Verdana" w:eastAsia="Times New Roman" w:hAnsi="Verdana" w:cs="Helvetica"/>
          <w:color w:val="000000"/>
          <w:sz w:val="17"/>
          <w:szCs w:val="17"/>
          <w:lang w:eastAsia="en-IN"/>
        </w:rPr>
        <w:t>can not</w:t>
      </w:r>
      <w:proofErr w:type="spellEnd"/>
      <w:r w:rsidRPr="00F2159C">
        <w:rPr>
          <w:rFonts w:ascii="Verdana" w:eastAsia="Times New Roman" w:hAnsi="Verdana" w:cs="Helvetica"/>
          <w:color w:val="000000"/>
          <w:sz w:val="17"/>
          <w:szCs w:val="17"/>
          <w:lang w:eastAsia="en-IN"/>
        </w:rPr>
        <w:t xml:space="preserve"> claim </w:t>
      </w:r>
      <w:proofErr w:type="spellStart"/>
      <w:r w:rsidRPr="00F2159C">
        <w:rPr>
          <w:rFonts w:ascii="Verdana" w:eastAsia="Times New Roman" w:hAnsi="Verdana" w:cs="Helvetica"/>
          <w:color w:val="000000"/>
          <w:sz w:val="17"/>
          <w:szCs w:val="17"/>
          <w:lang w:eastAsia="en-IN"/>
        </w:rPr>
        <w:t>Cenvat</w:t>
      </w:r>
      <w:proofErr w:type="spellEnd"/>
      <w:r w:rsidRPr="00F2159C">
        <w:rPr>
          <w:rFonts w:ascii="Verdana" w:eastAsia="Times New Roman" w:hAnsi="Verdana" w:cs="Helvetica"/>
          <w:color w:val="000000"/>
          <w:sz w:val="17"/>
          <w:szCs w:val="17"/>
          <w:lang w:eastAsia="en-IN"/>
        </w:rPr>
        <w:t xml:space="preserve"> </w:t>
      </w:r>
      <w:proofErr w:type="gramStart"/>
      <w:r w:rsidRPr="00F2159C">
        <w:rPr>
          <w:rFonts w:ascii="Verdana" w:eastAsia="Times New Roman" w:hAnsi="Verdana" w:cs="Helvetica"/>
          <w:color w:val="000000"/>
          <w:sz w:val="17"/>
          <w:szCs w:val="17"/>
          <w:lang w:eastAsia="en-IN"/>
        </w:rPr>
        <w:t>credit .</w:t>
      </w:r>
      <w:proofErr w:type="gramEnd"/>
      <w:r w:rsidRPr="00F2159C">
        <w:rPr>
          <w:rFonts w:ascii="Verdana" w:eastAsia="Times New Roman" w:hAnsi="Verdana" w:cs="Helvetica"/>
          <w:color w:val="000000"/>
          <w:sz w:val="17"/>
          <w:szCs w:val="17"/>
          <w:lang w:eastAsia="en-IN"/>
        </w:rPr>
        <w:t xml:space="preserve"> But this is not correct in all </w:t>
      </w:r>
      <w:proofErr w:type="gramStart"/>
      <w:r w:rsidRPr="00F2159C">
        <w:rPr>
          <w:rFonts w:ascii="Verdana" w:eastAsia="Times New Roman" w:hAnsi="Verdana" w:cs="Helvetica"/>
          <w:color w:val="000000"/>
          <w:sz w:val="17"/>
          <w:szCs w:val="17"/>
          <w:lang w:eastAsia="en-IN"/>
        </w:rPr>
        <w:t>cases .</w:t>
      </w:r>
      <w:proofErr w:type="gramEnd"/>
      <w:r w:rsidRPr="00F2159C">
        <w:rPr>
          <w:rFonts w:ascii="Verdana" w:eastAsia="Times New Roman" w:hAnsi="Verdana" w:cs="Helvetica"/>
          <w:color w:val="000000"/>
          <w:sz w:val="17"/>
          <w:szCs w:val="17"/>
          <w:lang w:eastAsia="en-IN"/>
        </w:rPr>
        <w:t xml:space="preserve"> So one has to check all the conditions placed against the abatement rules. </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hyperlink r:id="rId9" w:history="1">
        <w:proofErr w:type="spellStart"/>
        <w:r w:rsidRPr="00F2159C">
          <w:rPr>
            <w:rFonts w:ascii="Verdana" w:eastAsia="Times New Roman" w:hAnsi="Verdana" w:cs="Helvetica"/>
            <w:color w:val="23761A"/>
            <w:sz w:val="17"/>
            <w:szCs w:val="17"/>
            <w:lang w:eastAsia="en-IN"/>
          </w:rPr>
          <w:t>Cenvat</w:t>
        </w:r>
        <w:proofErr w:type="spellEnd"/>
        <w:r w:rsidRPr="00F2159C">
          <w:rPr>
            <w:rFonts w:ascii="Verdana" w:eastAsia="Times New Roman" w:hAnsi="Verdana" w:cs="Helvetica"/>
            <w:color w:val="23761A"/>
            <w:sz w:val="17"/>
            <w:szCs w:val="17"/>
            <w:lang w:eastAsia="en-IN"/>
          </w:rPr>
          <w:t xml:space="preserve"> credit</w:t>
        </w:r>
      </w:hyperlink>
      <w:r w:rsidRPr="00F2159C">
        <w:rPr>
          <w:rFonts w:ascii="Verdana" w:eastAsia="Times New Roman" w:hAnsi="Verdana" w:cs="Helvetica"/>
          <w:color w:val="000000"/>
          <w:sz w:val="17"/>
          <w:szCs w:val="17"/>
          <w:lang w:eastAsia="en-IN"/>
        </w:rPr>
        <w:t xml:space="preserve"> may be divided in three categories.</w:t>
      </w:r>
    </w:p>
    <w:p w:rsidR="00F2159C" w:rsidRPr="00F2159C" w:rsidRDefault="00F2159C" w:rsidP="00F2159C">
      <w:pPr>
        <w:numPr>
          <w:ilvl w:val="0"/>
          <w:numId w:val="1"/>
        </w:numPr>
        <w:shd w:val="clear" w:color="auto" w:fill="FFFFFF"/>
        <w:spacing w:before="100" w:beforeAutospacing="1" w:after="100" w:afterAutospacing="1" w:line="384" w:lineRule="atLeast"/>
        <w:rPr>
          <w:rFonts w:ascii="Verdana" w:eastAsia="Times New Roman" w:hAnsi="Verdana" w:cs="Helvetica"/>
          <w:color w:val="000000"/>
          <w:sz w:val="17"/>
          <w:szCs w:val="17"/>
          <w:lang w:eastAsia="en-IN"/>
        </w:rPr>
      </w:pPr>
      <w:proofErr w:type="spellStart"/>
      <w:r w:rsidRPr="00F2159C">
        <w:rPr>
          <w:rFonts w:ascii="Verdana" w:eastAsia="Times New Roman" w:hAnsi="Verdana" w:cs="Helvetica"/>
          <w:color w:val="000000"/>
          <w:sz w:val="17"/>
          <w:szCs w:val="17"/>
          <w:lang w:eastAsia="en-IN"/>
        </w:rPr>
        <w:t>Cenavt</w:t>
      </w:r>
      <w:proofErr w:type="spellEnd"/>
      <w:r w:rsidRPr="00F2159C">
        <w:rPr>
          <w:rFonts w:ascii="Verdana" w:eastAsia="Times New Roman" w:hAnsi="Verdana" w:cs="Helvetica"/>
          <w:color w:val="000000"/>
          <w:sz w:val="17"/>
          <w:szCs w:val="17"/>
          <w:lang w:eastAsia="en-IN"/>
        </w:rPr>
        <w:t xml:space="preserve"> credit on capital goods</w:t>
      </w:r>
    </w:p>
    <w:p w:rsidR="00F2159C" w:rsidRPr="00F2159C" w:rsidRDefault="00F2159C" w:rsidP="00F2159C">
      <w:pPr>
        <w:numPr>
          <w:ilvl w:val="0"/>
          <w:numId w:val="1"/>
        </w:numPr>
        <w:shd w:val="clear" w:color="auto" w:fill="FFFFFF"/>
        <w:spacing w:before="100" w:beforeAutospacing="1" w:after="100" w:afterAutospacing="1" w:line="384" w:lineRule="atLeast"/>
        <w:rPr>
          <w:rFonts w:ascii="Verdana" w:eastAsia="Times New Roman" w:hAnsi="Verdana" w:cs="Helvetica"/>
          <w:color w:val="000000"/>
          <w:sz w:val="17"/>
          <w:szCs w:val="17"/>
          <w:lang w:eastAsia="en-IN"/>
        </w:rPr>
      </w:pPr>
      <w:proofErr w:type="spellStart"/>
      <w:r w:rsidRPr="00F2159C">
        <w:rPr>
          <w:rFonts w:ascii="Verdana" w:eastAsia="Times New Roman" w:hAnsi="Verdana" w:cs="Helvetica"/>
          <w:color w:val="000000"/>
          <w:sz w:val="17"/>
          <w:szCs w:val="17"/>
          <w:lang w:eastAsia="en-IN"/>
        </w:rPr>
        <w:t>Cenvat</w:t>
      </w:r>
      <w:proofErr w:type="spellEnd"/>
      <w:r w:rsidRPr="00F2159C">
        <w:rPr>
          <w:rFonts w:ascii="Verdana" w:eastAsia="Times New Roman" w:hAnsi="Verdana" w:cs="Helvetica"/>
          <w:color w:val="000000"/>
          <w:sz w:val="17"/>
          <w:szCs w:val="17"/>
          <w:lang w:eastAsia="en-IN"/>
        </w:rPr>
        <w:t xml:space="preserve"> credit on Input Goods</w:t>
      </w:r>
    </w:p>
    <w:p w:rsidR="00F2159C" w:rsidRPr="00F2159C" w:rsidRDefault="00F2159C" w:rsidP="00F2159C">
      <w:pPr>
        <w:numPr>
          <w:ilvl w:val="0"/>
          <w:numId w:val="1"/>
        </w:numPr>
        <w:shd w:val="clear" w:color="auto" w:fill="FFFFFF"/>
        <w:spacing w:before="100" w:beforeAutospacing="1" w:after="100" w:afterAutospacing="1" w:line="384" w:lineRule="atLeast"/>
        <w:rPr>
          <w:rFonts w:ascii="Verdana" w:eastAsia="Times New Roman" w:hAnsi="Verdana" w:cs="Helvetica"/>
          <w:color w:val="000000"/>
          <w:sz w:val="17"/>
          <w:szCs w:val="17"/>
          <w:lang w:eastAsia="en-IN"/>
        </w:rPr>
      </w:pPr>
      <w:proofErr w:type="spellStart"/>
      <w:r w:rsidRPr="00F2159C">
        <w:rPr>
          <w:rFonts w:ascii="Verdana" w:eastAsia="Times New Roman" w:hAnsi="Verdana" w:cs="Helvetica"/>
          <w:color w:val="000000"/>
          <w:sz w:val="17"/>
          <w:szCs w:val="17"/>
          <w:lang w:eastAsia="en-IN"/>
        </w:rPr>
        <w:t>Cenvat</w:t>
      </w:r>
      <w:proofErr w:type="spellEnd"/>
      <w:r w:rsidRPr="00F2159C">
        <w:rPr>
          <w:rFonts w:ascii="Verdana" w:eastAsia="Times New Roman" w:hAnsi="Verdana" w:cs="Helvetica"/>
          <w:color w:val="000000"/>
          <w:sz w:val="17"/>
          <w:szCs w:val="17"/>
          <w:lang w:eastAsia="en-IN"/>
        </w:rPr>
        <w:t xml:space="preserve"> credit on Input services. </w:t>
      </w:r>
    </w:p>
    <w:p w:rsidR="00F2159C" w:rsidRPr="00F2159C" w:rsidRDefault="00F2159C" w:rsidP="00F2159C">
      <w:pPr>
        <w:shd w:val="clear" w:color="auto" w:fill="FFFFFF"/>
        <w:spacing w:after="240" w:line="384" w:lineRule="atLeast"/>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shd w:val="clear" w:color="auto" w:fill="FFFFFF"/>
          <w:lang w:eastAsia="en-IN"/>
        </w:rPr>
        <w:t xml:space="preserve">so while availing your abatement you should ensure that </w:t>
      </w:r>
      <w:proofErr w:type="spellStart"/>
      <w:r w:rsidRPr="00F2159C">
        <w:rPr>
          <w:rFonts w:ascii="Verdana" w:eastAsia="Times New Roman" w:hAnsi="Verdana" w:cs="Helvetica"/>
          <w:color w:val="000000"/>
          <w:sz w:val="17"/>
          <w:szCs w:val="17"/>
          <w:shd w:val="clear" w:color="auto" w:fill="FFFFFF"/>
          <w:lang w:eastAsia="en-IN"/>
        </w:rPr>
        <w:t>Cenvat</w:t>
      </w:r>
      <w:proofErr w:type="spellEnd"/>
      <w:r w:rsidRPr="00F2159C">
        <w:rPr>
          <w:rFonts w:ascii="Verdana" w:eastAsia="Times New Roman" w:hAnsi="Verdana" w:cs="Helvetica"/>
          <w:color w:val="000000"/>
          <w:sz w:val="17"/>
          <w:szCs w:val="17"/>
          <w:shd w:val="clear" w:color="auto" w:fill="FFFFFF"/>
          <w:lang w:eastAsia="en-IN"/>
        </w:rPr>
        <w:t xml:space="preserve"> credit as allowed under condition is availed .New rat of abatement applicable from 01.07.2012 has already been notified vide notification 13/2012 dated 17.03.2012 which is reproduced here under.</w:t>
      </w:r>
    </w:p>
    <w:p w:rsidR="00F2159C" w:rsidRPr="00F2159C" w:rsidRDefault="00F2159C" w:rsidP="00F2159C">
      <w:pPr>
        <w:shd w:val="clear" w:color="auto" w:fill="FFFFFF"/>
        <w:spacing w:after="0" w:line="384" w:lineRule="atLeast"/>
        <w:jc w:val="center"/>
        <w:rPr>
          <w:rFonts w:ascii="Verdana" w:eastAsia="Times New Roman" w:hAnsi="Verdana" w:cs="Helvetica"/>
          <w:color w:val="000000"/>
          <w:sz w:val="17"/>
          <w:szCs w:val="17"/>
          <w:lang w:eastAsia="en-IN"/>
        </w:rPr>
      </w:pPr>
      <w:r w:rsidRPr="00F2159C">
        <w:rPr>
          <w:rFonts w:ascii="Verdana" w:eastAsia="Times New Roman" w:hAnsi="Verdana" w:cs="Helvetica"/>
          <w:b/>
          <w:bCs/>
          <w:color w:val="000000"/>
          <w:sz w:val="17"/>
          <w:szCs w:val="17"/>
          <w:lang w:eastAsia="en-IN"/>
        </w:rPr>
        <w:t>Notification No. 13/2012- Service Tax</w:t>
      </w:r>
    </w:p>
    <w:p w:rsidR="00F2159C" w:rsidRPr="00F2159C" w:rsidRDefault="00F2159C" w:rsidP="00F2159C">
      <w:pPr>
        <w:shd w:val="clear" w:color="auto" w:fill="FFFFFF"/>
        <w:spacing w:after="0" w:line="384" w:lineRule="atLeast"/>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center"/>
        <w:rPr>
          <w:rFonts w:ascii="Verdana" w:eastAsia="Times New Roman" w:hAnsi="Verdana" w:cs="Helvetica"/>
          <w:color w:val="000000"/>
          <w:sz w:val="17"/>
          <w:szCs w:val="17"/>
          <w:lang w:eastAsia="en-IN"/>
        </w:rPr>
      </w:pPr>
      <w:r w:rsidRPr="00F2159C">
        <w:rPr>
          <w:rFonts w:ascii="Verdana" w:eastAsia="Times New Roman" w:hAnsi="Verdana" w:cs="Helvetica"/>
          <w:b/>
          <w:bCs/>
          <w:color w:val="000000"/>
          <w:sz w:val="17"/>
          <w:szCs w:val="17"/>
          <w:lang w:eastAsia="en-IN"/>
        </w:rPr>
        <w:t>New Delhi, the 17th March, 2012</w:t>
      </w:r>
    </w:p>
    <w:p w:rsidR="00F2159C" w:rsidRPr="00F2159C" w:rsidRDefault="00F2159C" w:rsidP="00F2159C">
      <w:pPr>
        <w:shd w:val="clear" w:color="auto" w:fill="FFFFFF"/>
        <w:spacing w:after="0" w:line="384" w:lineRule="atLeast"/>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G.S.R. (E). - In exercise of the powers conferred by sub-section (1) of section 93 of the Finance Act, 1994 (32 of 1994) (hereinafter referred to as the said Finance Act), the Central Government, being satisfied that it is necessary in the public interest so to do, hereby exempts the taxable service of the description specified in column (2) of the Table below, from so much of the service tax </w:t>
      </w:r>
      <w:proofErr w:type="spellStart"/>
      <w:r w:rsidRPr="00F2159C">
        <w:rPr>
          <w:rFonts w:ascii="Verdana" w:eastAsia="Times New Roman" w:hAnsi="Verdana" w:cs="Helvetica"/>
          <w:color w:val="000000"/>
          <w:sz w:val="17"/>
          <w:szCs w:val="17"/>
          <w:lang w:eastAsia="en-IN"/>
        </w:rPr>
        <w:t>leviable</w:t>
      </w:r>
      <w:proofErr w:type="spellEnd"/>
      <w:r w:rsidRPr="00F2159C">
        <w:rPr>
          <w:rFonts w:ascii="Verdana" w:eastAsia="Times New Roman" w:hAnsi="Verdana" w:cs="Helvetica"/>
          <w:color w:val="000000"/>
          <w:sz w:val="17"/>
          <w:szCs w:val="17"/>
          <w:lang w:eastAsia="en-IN"/>
        </w:rPr>
        <w:t xml:space="preserve"> thereon under section 66B of the said Finance Act, as is in excess of the service tax calculated on a value which is equivalent to a percentage specified in the corresponding entry in column (3) of the said Table, of the gross amount charged by such service provider for providing the said taxable service, subject to the relevant conditions specified in the corresponding entry in column (4) of the said Table, namely;-</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10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Table</w:t>
      </w:r>
    </w:p>
    <w:tbl>
      <w:tblPr>
        <w:tblW w:w="4000"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
        <w:gridCol w:w="2478"/>
        <w:gridCol w:w="1209"/>
        <w:gridCol w:w="2977"/>
      </w:tblGrid>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divId w:val="168066877"/>
              <w:rPr>
                <w:rFonts w:ascii="Helvetica" w:eastAsia="Times New Roman" w:hAnsi="Helvetica" w:cs="Helvetica"/>
                <w:color w:val="3E3E3E"/>
                <w:sz w:val="17"/>
                <w:szCs w:val="17"/>
                <w:lang w:eastAsia="en-IN"/>
              </w:rPr>
            </w:pPr>
            <w:proofErr w:type="spellStart"/>
            <w:r w:rsidRPr="00F2159C">
              <w:rPr>
                <w:rFonts w:ascii="Arial" w:eastAsia="Times New Roman" w:hAnsi="Arial" w:cs="Arial"/>
                <w:b/>
                <w:bCs/>
                <w:color w:val="3E3E3E"/>
                <w:sz w:val="20"/>
                <w:szCs w:val="20"/>
                <w:lang w:eastAsia="en-IN"/>
              </w:rPr>
              <w:t>Sl.No</w:t>
            </w:r>
            <w:proofErr w:type="spellEnd"/>
            <w:r w:rsidRPr="00F2159C">
              <w:rPr>
                <w:rFonts w:ascii="Arial" w:eastAsia="Times New Roman" w:hAnsi="Arial" w:cs="Arial"/>
                <w:b/>
                <w:bCs/>
                <w:color w:val="3E3E3E"/>
                <w:sz w:val="20"/>
                <w:szCs w:val="20"/>
                <w:lang w:eastAsia="en-IN"/>
              </w:rPr>
              <w:t>.</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t xml:space="preserve">Description of taxable </w:t>
            </w:r>
            <w:r w:rsidRPr="00F2159C">
              <w:rPr>
                <w:rFonts w:ascii="Arial" w:eastAsia="Times New Roman" w:hAnsi="Arial" w:cs="Arial"/>
                <w:b/>
                <w:bCs/>
                <w:color w:val="3E3E3E"/>
                <w:sz w:val="20"/>
                <w:szCs w:val="20"/>
                <w:lang w:eastAsia="en-IN"/>
              </w:rPr>
              <w:lastRenderedPageBreak/>
              <w:t>service</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lastRenderedPageBreak/>
              <w:t>Percentage</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t>Conditions</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lastRenderedPageBreak/>
              <w:t>(1)</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t>(2)</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t>(3)</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b/>
                <w:bCs/>
                <w:color w:val="3E3E3E"/>
                <w:sz w:val="20"/>
                <w:szCs w:val="20"/>
                <w:lang w:eastAsia="en-IN"/>
              </w:rPr>
              <w:t>(4)</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1</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Financial leasing services including equipment leasing and hire purchase</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10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Nil.</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2</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Transport of goods by rail</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30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Nil.</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3</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Transport of passengers, with or without accompanied belongings by rail</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30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Nil.</w:t>
            </w:r>
          </w:p>
        </w:tc>
      </w:tr>
      <w:tr w:rsidR="00F2159C" w:rsidRPr="00F2159C" w:rsidTr="00F2159C">
        <w:trPr>
          <w:trHeight w:val="1200"/>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4</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 xml:space="preserve">Supply of food or any other article of human consumption or any drink, in a premises, including hotel, convention </w:t>
            </w:r>
            <w:proofErr w:type="spellStart"/>
            <w:r w:rsidRPr="00F2159C">
              <w:rPr>
                <w:rFonts w:ascii="Arial" w:eastAsia="Times New Roman" w:hAnsi="Arial" w:cs="Arial"/>
                <w:color w:val="3E3E3E"/>
                <w:sz w:val="20"/>
                <w:szCs w:val="20"/>
                <w:lang w:eastAsia="en-IN"/>
              </w:rPr>
              <w:t>center</w:t>
            </w:r>
            <w:proofErr w:type="spellEnd"/>
            <w:r w:rsidRPr="00F2159C">
              <w:rPr>
                <w:rFonts w:ascii="Arial" w:eastAsia="Times New Roman" w:hAnsi="Arial" w:cs="Arial"/>
                <w:color w:val="3E3E3E"/>
                <w:sz w:val="20"/>
                <w:szCs w:val="20"/>
                <w:lang w:eastAsia="en-IN"/>
              </w:rPr>
              <w:t xml:space="preserve">, club, </w:t>
            </w:r>
            <w:proofErr w:type="spellStart"/>
            <w:r w:rsidRPr="00F2159C">
              <w:rPr>
                <w:rFonts w:ascii="Times New Roman" w:eastAsia="Times New Roman" w:hAnsi="Times New Roman" w:cs="Times New Roman"/>
                <w:color w:val="3E3E3E"/>
                <w:sz w:val="20"/>
                <w:szCs w:val="20"/>
                <w:lang w:eastAsia="en-IN"/>
              </w:rPr>
              <w:t>pandal</w:t>
            </w:r>
            <w:proofErr w:type="spellEnd"/>
            <w:r w:rsidRPr="00F2159C">
              <w:rPr>
                <w:rFonts w:ascii="Arial" w:eastAsia="Times New Roman" w:hAnsi="Arial" w:cs="Arial"/>
                <w:color w:val="3E3E3E"/>
                <w:sz w:val="20"/>
                <w:szCs w:val="20"/>
                <w:lang w:eastAsia="en-IN"/>
              </w:rPr>
              <w:t xml:space="preserve">, </w:t>
            </w:r>
            <w:proofErr w:type="spellStart"/>
            <w:r w:rsidRPr="00F2159C">
              <w:rPr>
                <w:rFonts w:ascii="Times New Roman" w:eastAsia="Times New Roman" w:hAnsi="Times New Roman" w:cs="Times New Roman"/>
                <w:color w:val="3E3E3E"/>
                <w:sz w:val="20"/>
                <w:szCs w:val="20"/>
                <w:lang w:eastAsia="en-IN"/>
              </w:rPr>
              <w:t>shamiana</w:t>
            </w:r>
            <w:proofErr w:type="spellEnd"/>
            <w:r w:rsidRPr="00F2159C">
              <w:rPr>
                <w:rFonts w:ascii="Arial" w:eastAsia="Times New Roman" w:hAnsi="Arial" w:cs="Arial"/>
                <w:color w:val="3E3E3E"/>
                <w:sz w:val="20"/>
                <w:szCs w:val="20"/>
                <w:lang w:eastAsia="en-IN"/>
              </w:rPr>
              <w:t xml:space="preserve"> or any place specially arranged for organizing a function</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70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CENVAT credit on any goods classifiable under chapter 1 to 22 of the Central Excise Tariff Act, 1985 (5 of 1986) used for providing the taxable service has not been taken under the provisions of the CENVAT Credit Rules, 2004.</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5</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Transport of passengers by air, with or without accompanied belongings</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40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CENVAT credit on inputs and capital goods, used for providing the taxable service, has not been taken under the provisions of the CENVAT Credit Rules, 2004.</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6</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Renting of hotels, inns, guest houses, clubs, campsites or other commercial places meant for residential or lodging purposes.</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60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Same as above.</w:t>
            </w:r>
          </w:p>
        </w:tc>
      </w:tr>
      <w:tr w:rsidR="00F2159C" w:rsidRPr="00F2159C" w:rsidTr="00F2159C">
        <w:trPr>
          <w:trHeight w:val="390"/>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7</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Transport of goods by road by Goods Transport Agency</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25</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CENVAT credit on inputs, capital goods and input services, used for providing the taxable service, has not been taken under the provisions of the CENVAT Credit Rules, 2004.</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8</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Services provided in relation to chit</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70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Same as above.</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9</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Renting of any motor vehicle designed to carry passengers</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40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Same as above.</w:t>
            </w:r>
          </w:p>
        </w:tc>
      </w:tr>
      <w:tr w:rsidR="00F2159C" w:rsidRPr="00F2159C" w:rsidTr="00F2159C">
        <w:trPr>
          <w:tblCellSpacing w:w="0" w:type="dxa"/>
          <w:jc w:val="center"/>
        </w:trPr>
        <w:tc>
          <w:tcPr>
            <w:tcW w:w="6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10</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Transport of goods in a vessel from one port in India to another</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50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Same as above.</w:t>
            </w:r>
          </w:p>
        </w:tc>
      </w:tr>
      <w:tr w:rsidR="00F2159C" w:rsidRPr="00F2159C" w:rsidTr="00F2159C">
        <w:trPr>
          <w:tblCellSpacing w:w="0" w:type="dxa"/>
          <w:jc w:val="center"/>
        </w:trPr>
        <w:tc>
          <w:tcPr>
            <w:tcW w:w="67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11</w:t>
            </w: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w:t>
            </w:r>
            <w:r w:rsidRPr="00F2159C">
              <w:rPr>
                <w:rFonts w:ascii="Times New Roman" w:eastAsia="Times New Roman" w:hAnsi="Times New Roman" w:cs="Times New Roman"/>
                <w:color w:val="3E3E3E"/>
                <w:sz w:val="20"/>
                <w:szCs w:val="20"/>
                <w:lang w:eastAsia="en-IN"/>
              </w:rPr>
              <w:t>i</w:t>
            </w:r>
            <w:r w:rsidRPr="00F2159C">
              <w:rPr>
                <w:rFonts w:ascii="Arial" w:eastAsia="Times New Roman" w:hAnsi="Arial" w:cs="Arial"/>
                <w:color w:val="3E3E3E"/>
                <w:sz w:val="20"/>
                <w:szCs w:val="20"/>
                <w:lang w:eastAsia="en-IN"/>
              </w:rPr>
              <w:t>)Services provided or to be provided to any person, by a tour operator in relation to a package tour</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25</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w:t>
            </w:r>
            <w:r w:rsidRPr="00F2159C">
              <w:rPr>
                <w:rFonts w:ascii="Times New Roman" w:eastAsia="Times New Roman" w:hAnsi="Times New Roman" w:cs="Times New Roman"/>
                <w:color w:val="3E3E3E"/>
                <w:sz w:val="20"/>
                <w:szCs w:val="20"/>
                <w:lang w:eastAsia="en-IN"/>
              </w:rPr>
              <w:t>i</w:t>
            </w:r>
            <w:r w:rsidRPr="00F2159C">
              <w:rPr>
                <w:rFonts w:ascii="Arial" w:eastAsia="Times New Roman" w:hAnsi="Arial" w:cs="Arial"/>
                <w:color w:val="3E3E3E"/>
                <w:sz w:val="20"/>
                <w:szCs w:val="20"/>
                <w:lang w:eastAsia="en-IN"/>
              </w:rPr>
              <w:t>) CENVAT credit on inputs, capital goods and input services, used for providing the taxable service, has not been taken under the provisions of the CENVAT Credit Rules, 2004.</w:t>
            </w:r>
          </w:p>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lastRenderedPageBreak/>
              <w:t>(ii) The bill issued for this purpose indicates that it is inclusive of charges for such a tour.</w:t>
            </w:r>
          </w:p>
        </w:tc>
      </w:tr>
      <w:tr w:rsidR="00F2159C" w:rsidRPr="00F2159C" w:rsidTr="00F2159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159C" w:rsidRPr="00F2159C" w:rsidRDefault="00F2159C" w:rsidP="00F2159C">
            <w:pPr>
              <w:spacing w:after="0" w:line="240" w:lineRule="auto"/>
              <w:rPr>
                <w:rFonts w:ascii="Helvetica" w:eastAsia="Times New Roman" w:hAnsi="Helvetica" w:cs="Helvetica"/>
                <w:color w:val="3E3E3E"/>
                <w:sz w:val="17"/>
                <w:szCs w:val="17"/>
                <w:lang w:eastAsia="en-IN"/>
              </w:rPr>
            </w:pP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(ii)Services provided or to be provided to any person, by a tour operator in relation to a tour, if the tour operator is providing services solely of arranging or booking accommodation for any person in relation to a tour</w:t>
            </w:r>
          </w:p>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10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w:t>
            </w:r>
            <w:r w:rsidRPr="00F2159C">
              <w:rPr>
                <w:rFonts w:ascii="Times New Roman" w:eastAsia="Times New Roman" w:hAnsi="Times New Roman" w:cs="Times New Roman"/>
                <w:color w:val="3E3E3E"/>
                <w:sz w:val="20"/>
                <w:szCs w:val="20"/>
                <w:lang w:eastAsia="en-IN"/>
              </w:rPr>
              <w:t>i</w:t>
            </w:r>
            <w:r w:rsidRPr="00F2159C">
              <w:rPr>
                <w:rFonts w:ascii="Arial" w:eastAsia="Times New Roman" w:hAnsi="Arial" w:cs="Arial"/>
                <w:color w:val="3E3E3E"/>
                <w:sz w:val="20"/>
                <w:szCs w:val="20"/>
                <w:lang w:eastAsia="en-IN"/>
              </w:rPr>
              <w:t>) CENVAT credit on inputs, capital goods and input services, used for providing the taxable service, has not been taken under the provisions of the CENVAT Credit Rules, 2004.</w:t>
            </w:r>
          </w:p>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 xml:space="preserve">(ii) The invoice, bill or </w:t>
            </w:r>
            <w:proofErr w:type="spellStart"/>
            <w:r w:rsidRPr="00F2159C">
              <w:rPr>
                <w:rFonts w:ascii="Arial" w:eastAsia="Times New Roman" w:hAnsi="Arial" w:cs="Arial"/>
                <w:color w:val="3E3E3E"/>
                <w:sz w:val="20"/>
                <w:szCs w:val="20"/>
                <w:lang w:eastAsia="en-IN"/>
              </w:rPr>
              <w:t>challan</w:t>
            </w:r>
            <w:proofErr w:type="spellEnd"/>
            <w:r w:rsidRPr="00F2159C">
              <w:rPr>
                <w:rFonts w:ascii="Arial" w:eastAsia="Times New Roman" w:hAnsi="Arial" w:cs="Arial"/>
                <w:color w:val="3E3E3E"/>
                <w:sz w:val="20"/>
                <w:szCs w:val="20"/>
                <w:lang w:eastAsia="en-IN"/>
              </w:rPr>
              <w:t xml:space="preserve"> issued indicates that it is towards the charges for such accommodation.</w:t>
            </w:r>
          </w:p>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 xml:space="preserve">(iii) This exemption shall not apply in such cases where the invoice, bill or </w:t>
            </w:r>
            <w:proofErr w:type="spellStart"/>
            <w:r w:rsidRPr="00F2159C">
              <w:rPr>
                <w:rFonts w:ascii="Arial" w:eastAsia="Times New Roman" w:hAnsi="Arial" w:cs="Arial"/>
                <w:color w:val="3E3E3E"/>
                <w:sz w:val="20"/>
                <w:szCs w:val="20"/>
                <w:lang w:eastAsia="en-IN"/>
              </w:rPr>
              <w:t>challan</w:t>
            </w:r>
            <w:proofErr w:type="spellEnd"/>
            <w:r w:rsidRPr="00F2159C">
              <w:rPr>
                <w:rFonts w:ascii="Arial" w:eastAsia="Times New Roman" w:hAnsi="Arial" w:cs="Arial"/>
                <w:color w:val="3E3E3E"/>
                <w:sz w:val="20"/>
                <w:szCs w:val="20"/>
                <w:lang w:eastAsia="en-IN"/>
              </w:rPr>
              <w:t xml:space="preserve"> issued by the tour operator, in relation to a tour, only includes the service charges for arranging or booking accommodation for any person and does not include the cost of such accommodation.</w:t>
            </w:r>
          </w:p>
        </w:tc>
      </w:tr>
      <w:tr w:rsidR="00F2159C" w:rsidRPr="00F2159C" w:rsidTr="00F2159C">
        <w:trPr>
          <w:trHeight w:val="81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159C" w:rsidRPr="00F2159C" w:rsidRDefault="00F2159C" w:rsidP="00F2159C">
            <w:pPr>
              <w:spacing w:after="0" w:line="240" w:lineRule="auto"/>
              <w:rPr>
                <w:rFonts w:ascii="Helvetica" w:eastAsia="Times New Roman" w:hAnsi="Helvetica" w:cs="Helvetica"/>
                <w:color w:val="3E3E3E"/>
                <w:sz w:val="17"/>
                <w:szCs w:val="17"/>
                <w:lang w:eastAsia="en-IN"/>
              </w:rPr>
            </w:pPr>
          </w:p>
        </w:tc>
        <w:tc>
          <w:tcPr>
            <w:tcW w:w="42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(iii) Services, other than services specified in (</w:t>
            </w:r>
            <w:r w:rsidRPr="00F2159C">
              <w:rPr>
                <w:rFonts w:ascii="Times New Roman" w:eastAsia="Times New Roman" w:hAnsi="Times New Roman" w:cs="Times New Roman"/>
                <w:color w:val="3E3E3E"/>
                <w:sz w:val="20"/>
                <w:szCs w:val="20"/>
                <w:lang w:eastAsia="en-IN"/>
              </w:rPr>
              <w:t>i</w:t>
            </w:r>
            <w:r w:rsidRPr="00F2159C">
              <w:rPr>
                <w:rFonts w:ascii="Arial" w:eastAsia="Times New Roman" w:hAnsi="Arial" w:cs="Arial"/>
                <w:color w:val="3E3E3E"/>
                <w:sz w:val="20"/>
                <w:szCs w:val="20"/>
                <w:lang w:eastAsia="en-IN"/>
              </w:rPr>
              <w:t>) and (ii) above, provided or to be provided to any person, by a tour operator in relation to a tour</w:t>
            </w:r>
          </w:p>
        </w:tc>
        <w:tc>
          <w:tcPr>
            <w:tcW w:w="1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center"/>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40</w:t>
            </w:r>
          </w:p>
        </w:tc>
        <w:tc>
          <w:tcPr>
            <w:tcW w:w="56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w:t>
            </w:r>
            <w:r w:rsidRPr="00F2159C">
              <w:rPr>
                <w:rFonts w:ascii="Times New Roman" w:eastAsia="Times New Roman" w:hAnsi="Times New Roman" w:cs="Times New Roman"/>
                <w:color w:val="3E3E3E"/>
                <w:sz w:val="20"/>
                <w:szCs w:val="20"/>
                <w:lang w:eastAsia="en-IN"/>
              </w:rPr>
              <w:t>i</w:t>
            </w:r>
            <w:r w:rsidRPr="00F2159C">
              <w:rPr>
                <w:rFonts w:ascii="Arial" w:eastAsia="Times New Roman" w:hAnsi="Arial" w:cs="Arial"/>
                <w:color w:val="3E3E3E"/>
                <w:sz w:val="20"/>
                <w:szCs w:val="20"/>
                <w:lang w:eastAsia="en-IN"/>
              </w:rPr>
              <w:t>) CENVAT credit on inputs, capital goods and input services, used for providing the taxable service, has not been taken under the provisions of the CENVAT Credit Rules, 2004.</w:t>
            </w:r>
          </w:p>
          <w:p w:rsidR="00F2159C" w:rsidRPr="00F2159C" w:rsidRDefault="00F2159C" w:rsidP="00F2159C">
            <w:pPr>
              <w:spacing w:after="0" w:line="240" w:lineRule="auto"/>
              <w:jc w:val="both"/>
              <w:rPr>
                <w:rFonts w:ascii="Helvetica" w:eastAsia="Times New Roman" w:hAnsi="Helvetica" w:cs="Helvetica"/>
                <w:color w:val="3E3E3E"/>
                <w:sz w:val="17"/>
                <w:szCs w:val="17"/>
                <w:lang w:eastAsia="en-IN"/>
              </w:rPr>
            </w:pPr>
            <w:r w:rsidRPr="00F2159C">
              <w:rPr>
                <w:rFonts w:ascii="Arial" w:eastAsia="Times New Roman" w:hAnsi="Arial" w:cs="Arial"/>
                <w:color w:val="3E3E3E"/>
                <w:sz w:val="20"/>
                <w:szCs w:val="20"/>
                <w:lang w:eastAsia="en-IN"/>
              </w:rPr>
              <w:t>(ii)The bill issued indicates that the amount charged in the bill is the gross amount charged for such a tour.</w:t>
            </w:r>
          </w:p>
        </w:tc>
      </w:tr>
    </w:tbl>
    <w:p w:rsidR="00F2159C" w:rsidRPr="00F2159C" w:rsidRDefault="00F2159C" w:rsidP="00F2159C">
      <w:pPr>
        <w:shd w:val="clear" w:color="auto" w:fill="FFFFFF"/>
        <w:spacing w:after="0" w:line="384" w:lineRule="atLeast"/>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roofErr w:type="gramStart"/>
      <w:r w:rsidRPr="00F2159C">
        <w:rPr>
          <w:rFonts w:ascii="Verdana" w:eastAsia="Times New Roman" w:hAnsi="Verdana" w:cs="Helvetica"/>
          <w:color w:val="000000"/>
          <w:sz w:val="17"/>
          <w:szCs w:val="17"/>
          <w:lang w:eastAsia="en-IN"/>
        </w:rPr>
        <w:t>Explanation.</w:t>
      </w:r>
      <w:proofErr w:type="gramEnd"/>
      <w:r w:rsidRPr="00F2159C">
        <w:rPr>
          <w:rFonts w:ascii="Verdana" w:eastAsia="Times New Roman" w:hAnsi="Verdana" w:cs="Helvetica"/>
          <w:color w:val="000000"/>
          <w:sz w:val="17"/>
          <w:szCs w:val="17"/>
          <w:lang w:eastAsia="en-IN"/>
        </w:rPr>
        <w:t xml:space="preserve"> –</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A. For the purposes of exemption at Serial number 1 –</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(i) Consideration received for the purpose of computing the gross amount charged is an amount, forming or representing as interest, i.e. the difference between the </w:t>
      </w:r>
      <w:proofErr w:type="spellStart"/>
      <w:proofErr w:type="gramStart"/>
      <w:r w:rsidRPr="00F2159C">
        <w:rPr>
          <w:rFonts w:ascii="Verdana" w:eastAsia="Times New Roman" w:hAnsi="Verdana" w:cs="Helvetica"/>
          <w:color w:val="000000"/>
          <w:sz w:val="17"/>
          <w:szCs w:val="17"/>
          <w:lang w:eastAsia="en-IN"/>
        </w:rPr>
        <w:t>installment</w:t>
      </w:r>
      <w:proofErr w:type="spellEnd"/>
      <w:proofErr w:type="gramEnd"/>
      <w:r w:rsidRPr="00F2159C">
        <w:rPr>
          <w:rFonts w:ascii="Verdana" w:eastAsia="Times New Roman" w:hAnsi="Verdana" w:cs="Helvetica"/>
          <w:color w:val="000000"/>
          <w:sz w:val="17"/>
          <w:szCs w:val="17"/>
          <w:lang w:eastAsia="en-IN"/>
        </w:rPr>
        <w:t xml:space="preserve"> paid towards repayment of the lease amount and the principal amount contained in such </w:t>
      </w:r>
      <w:proofErr w:type="spellStart"/>
      <w:r w:rsidRPr="00F2159C">
        <w:rPr>
          <w:rFonts w:ascii="Verdana" w:eastAsia="Times New Roman" w:hAnsi="Verdana" w:cs="Helvetica"/>
          <w:color w:val="000000"/>
          <w:sz w:val="17"/>
          <w:szCs w:val="17"/>
          <w:lang w:eastAsia="en-IN"/>
        </w:rPr>
        <w:t>installment</w:t>
      </w:r>
      <w:proofErr w:type="spellEnd"/>
      <w:r w:rsidRPr="00F2159C">
        <w:rPr>
          <w:rFonts w:ascii="Verdana" w:eastAsia="Times New Roman" w:hAnsi="Verdana" w:cs="Helvetica"/>
          <w:color w:val="000000"/>
          <w:sz w:val="17"/>
          <w:szCs w:val="17"/>
          <w:lang w:eastAsia="en-IN"/>
        </w:rPr>
        <w:t xml:space="preserve"> paid;</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(ii) </w:t>
      </w:r>
      <w:proofErr w:type="gramStart"/>
      <w:r w:rsidRPr="00F2159C">
        <w:rPr>
          <w:rFonts w:ascii="Verdana" w:eastAsia="Times New Roman" w:hAnsi="Verdana" w:cs="Helvetica"/>
          <w:color w:val="000000"/>
          <w:sz w:val="17"/>
          <w:szCs w:val="17"/>
          <w:lang w:eastAsia="en-IN"/>
        </w:rPr>
        <w:t>the</w:t>
      </w:r>
      <w:proofErr w:type="gramEnd"/>
      <w:r w:rsidRPr="00F2159C">
        <w:rPr>
          <w:rFonts w:ascii="Verdana" w:eastAsia="Times New Roman" w:hAnsi="Verdana" w:cs="Helvetica"/>
          <w:color w:val="000000"/>
          <w:sz w:val="17"/>
          <w:szCs w:val="17"/>
          <w:lang w:eastAsia="en-IN"/>
        </w:rPr>
        <w:t xml:space="preserve"> exemption shall not apply to an amount, other than an amount forming or representing as interest, charged by the service provider such as lease management fee, processing fee, documentation charges and administrative fee.</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lastRenderedPageBreak/>
        <w:t>B. For the purposes of exemption at Serial number 4 -</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Consideration received for the purpose of computing the gross amount charged is the sum total of the gross amount and the value of all goods, excluding the value added tax, if any, levied on goods or services supplied free of cost for use in or in relation to the supply of food or any other article of human consumption or any drink, under the same contract or any other contract:</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Provided that where the value of goods or services supplied free of cost is not ascertainable, the same shall be determined on the basis of the fair market value of the goods or services that have closely available resemblance.</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2. For the purposes of this notification, unless the context otherwise requires,-</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(a) “chit” means a transaction whether called chit, chit fund, chitty, </w:t>
      </w:r>
      <w:proofErr w:type="spellStart"/>
      <w:r w:rsidRPr="00F2159C">
        <w:rPr>
          <w:rFonts w:ascii="Verdana" w:eastAsia="Times New Roman" w:hAnsi="Verdana" w:cs="Helvetica"/>
          <w:color w:val="000000"/>
          <w:sz w:val="17"/>
          <w:szCs w:val="17"/>
          <w:lang w:eastAsia="en-IN"/>
        </w:rPr>
        <w:t>kuri</w:t>
      </w:r>
      <w:proofErr w:type="spellEnd"/>
      <w:r w:rsidRPr="00F2159C">
        <w:rPr>
          <w:rFonts w:ascii="Verdana" w:eastAsia="Times New Roman" w:hAnsi="Verdana" w:cs="Helvetica"/>
          <w:color w:val="000000"/>
          <w:sz w:val="17"/>
          <w:szCs w:val="17"/>
          <w:lang w:eastAsia="en-IN"/>
        </w:rPr>
        <w:t xml:space="preserve">, or by whatever name by or under which a person enters into an agreement with a specified number of persons that every one of them shall subscribe a certain sum of money (or a certain quantity of grain instead) by way of periodical </w:t>
      </w:r>
      <w:proofErr w:type="spellStart"/>
      <w:r w:rsidRPr="00F2159C">
        <w:rPr>
          <w:rFonts w:ascii="Verdana" w:eastAsia="Times New Roman" w:hAnsi="Verdana" w:cs="Helvetica"/>
          <w:color w:val="000000"/>
          <w:sz w:val="17"/>
          <w:szCs w:val="17"/>
          <w:lang w:eastAsia="en-IN"/>
        </w:rPr>
        <w:t>installments</w:t>
      </w:r>
      <w:proofErr w:type="spellEnd"/>
      <w:r w:rsidRPr="00F2159C">
        <w:rPr>
          <w:rFonts w:ascii="Verdana" w:eastAsia="Times New Roman" w:hAnsi="Verdana" w:cs="Helvetica"/>
          <w:color w:val="000000"/>
          <w:sz w:val="17"/>
          <w:szCs w:val="17"/>
          <w:lang w:eastAsia="en-IN"/>
        </w:rPr>
        <w:t xml:space="preserve"> over a definite period and that each subscriber shall, in his turn, as determined by lot or by auction or by tender or in such other manner as may be specified in the chit agreement, be entitled to a prize amount,</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(b) "package tour" means a tour wherein transportation, accommodation for stay, food, tourist guide, entry to monuments and other similar services in relation to tour are provided by the tour operator as part of the package tour to the person undertaking the tour,</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(c) “</w:t>
      </w:r>
      <w:proofErr w:type="gramStart"/>
      <w:r w:rsidRPr="00F2159C">
        <w:rPr>
          <w:rFonts w:ascii="Verdana" w:eastAsia="Times New Roman" w:hAnsi="Verdana" w:cs="Helvetica"/>
          <w:color w:val="000000"/>
          <w:sz w:val="17"/>
          <w:szCs w:val="17"/>
          <w:lang w:eastAsia="en-IN"/>
        </w:rPr>
        <w:t>tour</w:t>
      </w:r>
      <w:proofErr w:type="gramEnd"/>
      <w:r w:rsidRPr="00F2159C">
        <w:rPr>
          <w:rFonts w:ascii="Verdana" w:eastAsia="Times New Roman" w:hAnsi="Verdana" w:cs="Helvetica"/>
          <w:color w:val="000000"/>
          <w:sz w:val="17"/>
          <w:szCs w:val="17"/>
          <w:lang w:eastAsia="en-IN"/>
        </w:rPr>
        <w:t xml:space="preserve"> operator” means any person engaged in the business of planning, scheduling, organizing, arranging tours (which may include arrangements for accommodation, sightseeing or other similar services) by any mode of transport, and includes any person engaged in the business of operating tours,</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(d) “</w:t>
      </w:r>
      <w:proofErr w:type="gramStart"/>
      <w:r w:rsidRPr="00F2159C">
        <w:rPr>
          <w:rFonts w:ascii="Verdana" w:eastAsia="Times New Roman" w:hAnsi="Verdana" w:cs="Helvetica"/>
          <w:color w:val="000000"/>
          <w:sz w:val="17"/>
          <w:szCs w:val="17"/>
          <w:lang w:eastAsia="en-IN"/>
        </w:rPr>
        <w:t>financial</w:t>
      </w:r>
      <w:proofErr w:type="gramEnd"/>
      <w:r w:rsidRPr="00F2159C">
        <w:rPr>
          <w:rFonts w:ascii="Verdana" w:eastAsia="Times New Roman" w:hAnsi="Verdana" w:cs="Helvetica"/>
          <w:color w:val="000000"/>
          <w:sz w:val="17"/>
          <w:szCs w:val="17"/>
          <w:lang w:eastAsia="en-IN"/>
        </w:rPr>
        <w:t xml:space="preserve"> leasing” means a lease transaction where—</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(i) </w:t>
      </w:r>
      <w:proofErr w:type="gramStart"/>
      <w:r w:rsidRPr="00F2159C">
        <w:rPr>
          <w:rFonts w:ascii="Verdana" w:eastAsia="Times New Roman" w:hAnsi="Verdana" w:cs="Helvetica"/>
          <w:color w:val="000000"/>
          <w:sz w:val="17"/>
          <w:szCs w:val="17"/>
          <w:lang w:eastAsia="en-IN"/>
        </w:rPr>
        <w:t>contract</w:t>
      </w:r>
      <w:proofErr w:type="gramEnd"/>
      <w:r w:rsidRPr="00F2159C">
        <w:rPr>
          <w:rFonts w:ascii="Verdana" w:eastAsia="Times New Roman" w:hAnsi="Verdana" w:cs="Helvetica"/>
          <w:color w:val="000000"/>
          <w:sz w:val="17"/>
          <w:szCs w:val="17"/>
          <w:lang w:eastAsia="en-IN"/>
        </w:rPr>
        <w:t xml:space="preserve"> for lease is entered into between parties for leasing of a specific asset;</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(ii) </w:t>
      </w:r>
      <w:proofErr w:type="gramStart"/>
      <w:r w:rsidRPr="00F2159C">
        <w:rPr>
          <w:rFonts w:ascii="Verdana" w:eastAsia="Times New Roman" w:hAnsi="Verdana" w:cs="Helvetica"/>
          <w:color w:val="000000"/>
          <w:sz w:val="17"/>
          <w:szCs w:val="17"/>
          <w:lang w:eastAsia="en-IN"/>
        </w:rPr>
        <w:t>the</w:t>
      </w:r>
      <w:proofErr w:type="gramEnd"/>
      <w:r w:rsidRPr="00F2159C">
        <w:rPr>
          <w:rFonts w:ascii="Verdana" w:eastAsia="Times New Roman" w:hAnsi="Verdana" w:cs="Helvetica"/>
          <w:color w:val="000000"/>
          <w:sz w:val="17"/>
          <w:szCs w:val="17"/>
          <w:lang w:eastAsia="en-IN"/>
        </w:rPr>
        <w:t xml:space="preserve"> contract is for use and occupation of the asset by the lessee;</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(iii) </w:t>
      </w:r>
      <w:proofErr w:type="gramStart"/>
      <w:r w:rsidRPr="00F2159C">
        <w:rPr>
          <w:rFonts w:ascii="Verdana" w:eastAsia="Times New Roman" w:hAnsi="Verdana" w:cs="Helvetica"/>
          <w:color w:val="000000"/>
          <w:sz w:val="17"/>
          <w:szCs w:val="17"/>
          <w:lang w:eastAsia="en-IN"/>
        </w:rPr>
        <w:t>the</w:t>
      </w:r>
      <w:proofErr w:type="gramEnd"/>
      <w:r w:rsidRPr="00F2159C">
        <w:rPr>
          <w:rFonts w:ascii="Verdana" w:eastAsia="Times New Roman" w:hAnsi="Verdana" w:cs="Helvetica"/>
          <w:color w:val="000000"/>
          <w:sz w:val="17"/>
          <w:szCs w:val="17"/>
          <w:lang w:eastAsia="en-IN"/>
        </w:rPr>
        <w:t xml:space="preserve"> lease payment is calculated so as to cover the full cost of the asset together with the interest charges; and</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 xml:space="preserve">(iv) </w:t>
      </w:r>
      <w:proofErr w:type="gramStart"/>
      <w:r w:rsidRPr="00F2159C">
        <w:rPr>
          <w:rFonts w:ascii="Verdana" w:eastAsia="Times New Roman" w:hAnsi="Verdana" w:cs="Helvetica"/>
          <w:color w:val="000000"/>
          <w:sz w:val="17"/>
          <w:szCs w:val="17"/>
          <w:lang w:eastAsia="en-IN"/>
        </w:rPr>
        <w:t>the</w:t>
      </w:r>
      <w:proofErr w:type="gramEnd"/>
      <w:r w:rsidRPr="00F2159C">
        <w:rPr>
          <w:rFonts w:ascii="Verdana" w:eastAsia="Times New Roman" w:hAnsi="Verdana" w:cs="Helvetica"/>
          <w:color w:val="000000"/>
          <w:sz w:val="17"/>
          <w:szCs w:val="17"/>
          <w:lang w:eastAsia="en-IN"/>
        </w:rPr>
        <w:t xml:space="preserve"> lessee is entitled to own, or has the option to own, the asset at the end of the lease period after making the lease payment;</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3. This notification shall come into force from the date on which section 66B of the Finance Act, 1994 comes into effect</w:t>
      </w:r>
      <w:proofErr w:type="gramStart"/>
      <w:r w:rsidRPr="00F2159C">
        <w:rPr>
          <w:rFonts w:ascii="Verdana" w:eastAsia="Times New Roman" w:hAnsi="Verdana" w:cs="Helvetica"/>
          <w:color w:val="000000"/>
          <w:sz w:val="17"/>
          <w:szCs w:val="17"/>
          <w:lang w:eastAsia="en-IN"/>
        </w:rPr>
        <w:t>.(</w:t>
      </w:r>
      <w:proofErr w:type="gramEnd"/>
      <w:r w:rsidRPr="00F2159C">
        <w:rPr>
          <w:rFonts w:ascii="Verdana" w:eastAsia="Times New Roman" w:hAnsi="Verdana" w:cs="Helvetica"/>
          <w:b/>
          <w:bCs/>
          <w:color w:val="000000"/>
          <w:sz w:val="17"/>
          <w:szCs w:val="17"/>
          <w:lang w:eastAsia="en-IN"/>
        </w:rPr>
        <w:t>It is applicable from 01.07.2012</w:t>
      </w:r>
      <w:r w:rsidRPr="00F2159C">
        <w:rPr>
          <w:rFonts w:ascii="Verdana" w:eastAsia="Times New Roman" w:hAnsi="Verdana" w:cs="Helvetica"/>
          <w:color w:val="000000"/>
          <w:sz w:val="17"/>
          <w:szCs w:val="17"/>
          <w:lang w:eastAsia="en-IN"/>
        </w:rPr>
        <w:t>)</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(Samar Nanda)</w:t>
      </w:r>
    </w:p>
    <w:p w:rsidR="00F2159C" w:rsidRPr="00F2159C" w:rsidRDefault="00F2159C" w:rsidP="00F2159C">
      <w:pPr>
        <w:shd w:val="clear" w:color="auto" w:fill="FFFFFF"/>
        <w:spacing w:after="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lang w:eastAsia="en-IN"/>
        </w:rPr>
        <w:t>Under Secretary to the Government of India</w:t>
      </w:r>
    </w:p>
    <w:p w:rsidR="00F2159C" w:rsidRPr="00F2159C" w:rsidRDefault="00F2159C" w:rsidP="00F2159C">
      <w:pPr>
        <w:shd w:val="clear" w:color="auto" w:fill="FFFFFF"/>
        <w:spacing w:after="100" w:line="384" w:lineRule="atLeast"/>
        <w:jc w:val="both"/>
        <w:rPr>
          <w:rFonts w:ascii="Verdana" w:eastAsia="Times New Roman" w:hAnsi="Verdana" w:cs="Helvetica"/>
          <w:color w:val="000000"/>
          <w:sz w:val="17"/>
          <w:szCs w:val="17"/>
          <w:lang w:eastAsia="en-IN"/>
        </w:rPr>
      </w:pPr>
      <w:r w:rsidRPr="00F2159C">
        <w:rPr>
          <w:rFonts w:ascii="Verdana" w:eastAsia="Times New Roman" w:hAnsi="Verdana" w:cs="Helvetica"/>
          <w:color w:val="000000"/>
          <w:sz w:val="17"/>
          <w:szCs w:val="17"/>
          <w:shd w:val="clear" w:color="auto" w:fill="FFFFFF"/>
          <w:lang w:eastAsia="en-IN"/>
        </w:rPr>
        <w:t>[F. No. 334/1/2012 -TRU]</w:t>
      </w:r>
    </w:p>
    <w:p w:rsidR="00F86144" w:rsidRDefault="00F2159C" w:rsidP="00F2159C">
      <w:r w:rsidRPr="00F2159C">
        <w:rPr>
          <w:rFonts w:ascii="Helvetica" w:eastAsia="Times New Roman" w:hAnsi="Helvetica" w:cs="Helvetica"/>
          <w:color w:val="000000"/>
          <w:sz w:val="17"/>
          <w:szCs w:val="17"/>
          <w:lang w:eastAsia="en-IN"/>
        </w:rPr>
        <w:br/>
      </w:r>
      <w:r w:rsidRPr="00F2159C">
        <w:rPr>
          <w:rFonts w:ascii="Helvetica" w:eastAsia="Times New Roman" w:hAnsi="Helvetica" w:cs="Helvetica"/>
          <w:color w:val="000000"/>
          <w:sz w:val="17"/>
          <w:szCs w:val="17"/>
          <w:lang w:eastAsia="en-IN"/>
        </w:rPr>
        <w:br/>
        <w:t xml:space="preserve">Read more: </w:t>
      </w:r>
      <w:hyperlink r:id="rId10" w:anchor="ixzz29igRFe7B" w:history="1">
        <w:r w:rsidRPr="00F2159C">
          <w:rPr>
            <w:rFonts w:ascii="Helvetica" w:eastAsia="Times New Roman" w:hAnsi="Helvetica" w:cs="Helvetica"/>
            <w:color w:val="003399"/>
            <w:sz w:val="17"/>
            <w:szCs w:val="17"/>
            <w:lang w:eastAsia="en-IN"/>
          </w:rPr>
          <w:t>http://www.simpletaxindia.net/2012/06/new-abatement-rate-of-services-wef.html#ixzz29igRFe7B</w:t>
        </w:r>
      </w:hyperlink>
      <w:bookmarkStart w:id="0" w:name="_GoBack"/>
      <w:bookmarkEnd w:id="0"/>
    </w:p>
    <w:sectPr w:rsidR="00F86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3EFE"/>
    <w:multiLevelType w:val="multilevel"/>
    <w:tmpl w:val="9ACC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8"/>
    <w:rsid w:val="00D261D8"/>
    <w:rsid w:val="00F2159C"/>
    <w:rsid w:val="00F861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15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59C"/>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F2159C"/>
    <w:rPr>
      <w:strike w:val="0"/>
      <w:dstrike w:val="0"/>
      <w:color w:val="23761A"/>
      <w:u w:val="none"/>
      <w:effect w:val="none"/>
    </w:rPr>
  </w:style>
  <w:style w:type="character" w:customStyle="1" w:styleId="ilad">
    <w:name w:val="il_ad"/>
    <w:basedOn w:val="DefaultParagraphFont"/>
    <w:rsid w:val="00F21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159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59C"/>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F2159C"/>
    <w:rPr>
      <w:strike w:val="0"/>
      <w:dstrike w:val="0"/>
      <w:color w:val="23761A"/>
      <w:u w:val="none"/>
      <w:effect w:val="none"/>
    </w:rPr>
  </w:style>
  <w:style w:type="character" w:customStyle="1" w:styleId="ilad">
    <w:name w:val="il_ad"/>
    <w:basedOn w:val="DefaultParagraphFont"/>
    <w:rsid w:val="00F2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81750">
      <w:bodyDiv w:val="1"/>
      <w:marLeft w:val="0"/>
      <w:marRight w:val="0"/>
      <w:marTop w:val="100"/>
      <w:marBottom w:val="100"/>
      <w:divBdr>
        <w:top w:val="single" w:sz="6" w:space="0" w:color="A4A4A4"/>
        <w:left w:val="single" w:sz="6" w:space="0" w:color="A4A4A4"/>
        <w:bottom w:val="single" w:sz="6" w:space="0" w:color="A4A4A4"/>
        <w:right w:val="single" w:sz="6" w:space="0" w:color="A4A4A4"/>
      </w:divBdr>
      <w:divsChild>
        <w:div w:id="1269923096">
          <w:marLeft w:val="0"/>
          <w:marRight w:val="0"/>
          <w:marTop w:val="0"/>
          <w:marBottom w:val="0"/>
          <w:divBdr>
            <w:top w:val="none" w:sz="0" w:space="0" w:color="auto"/>
            <w:left w:val="none" w:sz="0" w:space="0" w:color="auto"/>
            <w:bottom w:val="none" w:sz="0" w:space="0" w:color="auto"/>
            <w:right w:val="none" w:sz="0" w:space="0" w:color="auto"/>
          </w:divBdr>
          <w:divsChild>
            <w:div w:id="1413702795">
              <w:marLeft w:val="0"/>
              <w:marRight w:val="0"/>
              <w:marTop w:val="0"/>
              <w:marBottom w:val="75"/>
              <w:divBdr>
                <w:top w:val="none" w:sz="0" w:space="0" w:color="auto"/>
                <w:left w:val="none" w:sz="0" w:space="0" w:color="auto"/>
                <w:bottom w:val="none" w:sz="0" w:space="0" w:color="auto"/>
                <w:right w:val="none" w:sz="0" w:space="0" w:color="auto"/>
              </w:divBdr>
              <w:divsChild>
                <w:div w:id="886183057">
                  <w:marLeft w:val="0"/>
                  <w:marRight w:val="0"/>
                  <w:marTop w:val="0"/>
                  <w:marBottom w:val="0"/>
                  <w:divBdr>
                    <w:top w:val="single" w:sz="6" w:space="0" w:color="A4A4A4"/>
                    <w:left w:val="single" w:sz="6" w:space="0" w:color="A4A4A4"/>
                    <w:bottom w:val="single" w:sz="6" w:space="0" w:color="A4A4A4"/>
                    <w:right w:val="single" w:sz="6" w:space="0" w:color="A4A4A4"/>
                  </w:divBdr>
                  <w:divsChild>
                    <w:div w:id="168066877">
                      <w:marLeft w:val="0"/>
                      <w:marRight w:val="-45"/>
                      <w:marTop w:val="0"/>
                      <w:marBottom w:val="0"/>
                      <w:divBdr>
                        <w:top w:val="none" w:sz="0" w:space="0" w:color="auto"/>
                        <w:left w:val="none" w:sz="0" w:space="0" w:color="auto"/>
                        <w:bottom w:val="none" w:sz="0" w:space="0" w:color="auto"/>
                        <w:right w:val="none" w:sz="0" w:space="0" w:color="auto"/>
                      </w:divBdr>
                    </w:div>
                    <w:div w:id="28140952">
                      <w:marLeft w:val="0"/>
                      <w:marRight w:val="-45"/>
                      <w:marTop w:val="0"/>
                      <w:marBottom w:val="0"/>
                      <w:divBdr>
                        <w:top w:val="none" w:sz="0" w:space="0" w:color="auto"/>
                        <w:left w:val="none" w:sz="0" w:space="0" w:color="auto"/>
                        <w:bottom w:val="none" w:sz="0" w:space="0" w:color="auto"/>
                        <w:right w:val="none" w:sz="0" w:space="0" w:color="auto"/>
                      </w:divBdr>
                    </w:div>
                    <w:div w:id="204145593">
                      <w:marLeft w:val="0"/>
                      <w:marRight w:val="-45"/>
                      <w:marTop w:val="0"/>
                      <w:marBottom w:val="0"/>
                      <w:divBdr>
                        <w:top w:val="none" w:sz="0" w:space="0" w:color="auto"/>
                        <w:left w:val="none" w:sz="0" w:space="0" w:color="auto"/>
                        <w:bottom w:val="none" w:sz="0" w:space="0" w:color="auto"/>
                        <w:right w:val="none" w:sz="0" w:space="0" w:color="auto"/>
                      </w:divBdr>
                    </w:div>
                    <w:div w:id="1780222362">
                      <w:marLeft w:val="0"/>
                      <w:marRight w:val="-45"/>
                      <w:marTop w:val="0"/>
                      <w:marBottom w:val="0"/>
                      <w:divBdr>
                        <w:top w:val="none" w:sz="0" w:space="0" w:color="auto"/>
                        <w:left w:val="none" w:sz="0" w:space="0" w:color="auto"/>
                        <w:bottom w:val="none" w:sz="0" w:space="0" w:color="auto"/>
                        <w:right w:val="none" w:sz="0" w:space="0" w:color="auto"/>
                      </w:divBdr>
                    </w:div>
                    <w:div w:id="1900290080">
                      <w:marLeft w:val="0"/>
                      <w:marRight w:val="-45"/>
                      <w:marTop w:val="0"/>
                      <w:marBottom w:val="0"/>
                      <w:divBdr>
                        <w:top w:val="none" w:sz="0" w:space="0" w:color="auto"/>
                        <w:left w:val="none" w:sz="0" w:space="0" w:color="auto"/>
                        <w:bottom w:val="none" w:sz="0" w:space="0" w:color="auto"/>
                        <w:right w:val="none" w:sz="0" w:space="0" w:color="auto"/>
                      </w:divBdr>
                    </w:div>
                    <w:div w:id="190846095">
                      <w:marLeft w:val="0"/>
                      <w:marRight w:val="-45"/>
                      <w:marTop w:val="0"/>
                      <w:marBottom w:val="0"/>
                      <w:divBdr>
                        <w:top w:val="none" w:sz="0" w:space="0" w:color="auto"/>
                        <w:left w:val="none" w:sz="0" w:space="0" w:color="auto"/>
                        <w:bottom w:val="none" w:sz="0" w:space="0" w:color="auto"/>
                        <w:right w:val="none" w:sz="0" w:space="0" w:color="auto"/>
                      </w:divBdr>
                    </w:div>
                    <w:div w:id="762409449">
                      <w:marLeft w:val="0"/>
                      <w:marRight w:val="-45"/>
                      <w:marTop w:val="0"/>
                      <w:marBottom w:val="0"/>
                      <w:divBdr>
                        <w:top w:val="none" w:sz="0" w:space="0" w:color="auto"/>
                        <w:left w:val="none" w:sz="0" w:space="0" w:color="auto"/>
                        <w:bottom w:val="none" w:sz="0" w:space="0" w:color="auto"/>
                        <w:right w:val="none" w:sz="0" w:space="0" w:color="auto"/>
                      </w:divBdr>
                    </w:div>
                    <w:div w:id="321857703">
                      <w:marLeft w:val="0"/>
                      <w:marRight w:val="0"/>
                      <w:marTop w:val="0"/>
                      <w:marBottom w:val="0"/>
                      <w:divBdr>
                        <w:top w:val="none" w:sz="0" w:space="0" w:color="auto"/>
                        <w:left w:val="none" w:sz="0" w:space="0" w:color="auto"/>
                        <w:bottom w:val="none" w:sz="0" w:space="0" w:color="auto"/>
                        <w:right w:val="none" w:sz="0" w:space="0" w:color="auto"/>
                      </w:divBdr>
                    </w:div>
                    <w:div w:id="780497288">
                      <w:marLeft w:val="0"/>
                      <w:marRight w:val="-45"/>
                      <w:marTop w:val="0"/>
                      <w:marBottom w:val="0"/>
                      <w:divBdr>
                        <w:top w:val="none" w:sz="0" w:space="0" w:color="auto"/>
                        <w:left w:val="none" w:sz="0" w:space="0" w:color="auto"/>
                        <w:bottom w:val="none" w:sz="0" w:space="0" w:color="auto"/>
                        <w:right w:val="none" w:sz="0" w:space="0" w:color="auto"/>
                      </w:divBdr>
                    </w:div>
                    <w:div w:id="630135615">
                      <w:marLeft w:val="0"/>
                      <w:marRight w:val="-45"/>
                      <w:marTop w:val="0"/>
                      <w:marBottom w:val="0"/>
                      <w:divBdr>
                        <w:top w:val="none" w:sz="0" w:space="0" w:color="auto"/>
                        <w:left w:val="none" w:sz="0" w:space="0" w:color="auto"/>
                        <w:bottom w:val="none" w:sz="0" w:space="0" w:color="auto"/>
                        <w:right w:val="none" w:sz="0" w:space="0" w:color="auto"/>
                      </w:divBdr>
                    </w:div>
                    <w:div w:id="1320882803">
                      <w:marLeft w:val="0"/>
                      <w:marRight w:val="-45"/>
                      <w:marTop w:val="0"/>
                      <w:marBottom w:val="0"/>
                      <w:divBdr>
                        <w:top w:val="none" w:sz="0" w:space="0" w:color="auto"/>
                        <w:left w:val="none" w:sz="0" w:space="0" w:color="auto"/>
                        <w:bottom w:val="none" w:sz="0" w:space="0" w:color="auto"/>
                        <w:right w:val="none" w:sz="0" w:space="0" w:color="auto"/>
                      </w:divBdr>
                    </w:div>
                    <w:div w:id="1133863231">
                      <w:marLeft w:val="0"/>
                      <w:marRight w:val="-45"/>
                      <w:marTop w:val="0"/>
                      <w:marBottom w:val="0"/>
                      <w:divBdr>
                        <w:top w:val="none" w:sz="0" w:space="0" w:color="auto"/>
                        <w:left w:val="none" w:sz="0" w:space="0" w:color="auto"/>
                        <w:bottom w:val="none" w:sz="0" w:space="0" w:color="auto"/>
                        <w:right w:val="none" w:sz="0" w:space="0" w:color="auto"/>
                      </w:divBdr>
                    </w:div>
                    <w:div w:id="1093084414">
                      <w:marLeft w:val="0"/>
                      <w:marRight w:val="-45"/>
                      <w:marTop w:val="0"/>
                      <w:marBottom w:val="0"/>
                      <w:divBdr>
                        <w:top w:val="none" w:sz="0" w:space="0" w:color="auto"/>
                        <w:left w:val="none" w:sz="0" w:space="0" w:color="auto"/>
                        <w:bottom w:val="none" w:sz="0" w:space="0" w:color="auto"/>
                        <w:right w:val="none" w:sz="0" w:space="0" w:color="auto"/>
                      </w:divBdr>
                    </w:div>
                    <w:div w:id="1198738970">
                      <w:marLeft w:val="0"/>
                      <w:marRight w:val="-45"/>
                      <w:marTop w:val="0"/>
                      <w:marBottom w:val="0"/>
                      <w:divBdr>
                        <w:top w:val="none" w:sz="0" w:space="0" w:color="auto"/>
                        <w:left w:val="none" w:sz="0" w:space="0" w:color="auto"/>
                        <w:bottom w:val="none" w:sz="0" w:space="0" w:color="auto"/>
                        <w:right w:val="none" w:sz="0" w:space="0" w:color="auto"/>
                      </w:divBdr>
                    </w:div>
                  </w:divsChild>
                </w:div>
                <w:div w:id="320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taxindia.net/2012/06/negative-list-service-tax-reverse.html" TargetMode="External"/><Relationship Id="rId3" Type="http://schemas.microsoft.com/office/2007/relationships/stylesWithEffects" Target="stylesWithEffects.xml"/><Relationship Id="rId7" Type="http://schemas.openxmlformats.org/officeDocument/2006/relationships/hyperlink" Target="http://www.simpletaxindia.net/2012/06/new-services-under-reverse-charge-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etaxindia.net/2012/03/negative-list-of-17-swee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mpletaxindia.net/2012/06/new-abatement-rate-of-services-wef.html" TargetMode="External"/><Relationship Id="rId4" Type="http://schemas.openxmlformats.org/officeDocument/2006/relationships/settings" Target="settings.xml"/><Relationship Id="rId9" Type="http://schemas.openxmlformats.org/officeDocument/2006/relationships/hyperlink" Target="http://www.simpletaxindia.net/2012/04/cenvat-credit-wef-01042012-amend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7701</Characters>
  <Application>Microsoft Office Word</Application>
  <DocSecurity>0</DocSecurity>
  <Lines>64</Lines>
  <Paragraphs>18</Paragraphs>
  <ScaleCrop>false</ScaleCrop>
  <Company>Microsoft</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2012-10-19T05:25:00Z</dcterms:created>
  <dcterms:modified xsi:type="dcterms:W3CDTF">2012-10-19T05:26:00Z</dcterms:modified>
</cp:coreProperties>
</file>